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bookmarkStart w:id="0" w:name="_GoBack"/>
            <w:r w:rsidRPr="00071EFD">
              <w:rPr>
                <w:rFonts w:ascii="Tahoma" w:hAnsi="Tahoma" w:cs="Tahoma"/>
                <w:spacing w:val="20"/>
              </w:rPr>
              <w:t>ΑΙΤΗΣΗ – ΥΠΕΥΘΥΝΗ ΔΗΛΩΣΗ</w:t>
            </w:r>
          </w:p>
          <w:bookmarkEnd w:id="0"/>
          <w:p w:rsidR="005501D2" w:rsidRPr="00071EFD"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EC6BB0" w:rsidRDefault="005501D2" w:rsidP="00EC6BB0">
            <w:pPr>
              <w:jc w:val="center"/>
              <w:outlineLvl w:val="0"/>
              <w:rPr>
                <w:rFonts w:ascii="Tahoma" w:hAnsi="Tahoma" w:cs="Tahoma"/>
                <w:b/>
                <w:bCs/>
                <w:sz w:val="22"/>
                <w:szCs w:val="22"/>
                <w:lang w:val="en-US"/>
              </w:rPr>
            </w:pPr>
            <w:r w:rsidRPr="00EC6BB0">
              <w:rPr>
                <w:rFonts w:ascii="Tahoma" w:hAnsi="Tahoma" w:cs="Tahoma"/>
                <w:b/>
                <w:bCs/>
                <w:sz w:val="22"/>
                <w:szCs w:val="22"/>
              </w:rPr>
              <w:t>ΣΥΜΒΑΣΗ ΕΡΓΑΣΙΑΣ ΟΡΙΣΜΕΝΟΥ ΧΡΟΝΟΥ</w:t>
            </w:r>
          </w:p>
          <w:p w:rsidR="00F059E8" w:rsidRPr="00EC6BB0" w:rsidRDefault="00F059E8" w:rsidP="00EC6BB0">
            <w:pPr>
              <w:tabs>
                <w:tab w:val="left" w:pos="720"/>
              </w:tabs>
              <w:jc w:val="center"/>
              <w:rPr>
                <w:rFonts w:ascii="Tahoma" w:hAnsi="Tahoma" w:cs="Tahoma"/>
                <w:b/>
                <w:bCs/>
                <w:sz w:val="22"/>
                <w:szCs w:val="22"/>
              </w:rPr>
            </w:pPr>
            <w:r w:rsidRPr="00EC6BB0">
              <w:rPr>
                <w:rFonts w:ascii="Tahoma" w:hAnsi="Tahoma" w:cs="Tahoma"/>
                <w:b/>
                <w:sz w:val="22"/>
                <w:szCs w:val="22"/>
              </w:rPr>
              <w:t>ΓΙΑ ΤΙΣ ΣΥΓΧΡΗΜΑΤΟΔΟΤΟΥΜΕΝΕΣ ΔΡΑΣΕΙΣ «ΔΟΜΕΣ ΠΑΡΟΧΗΣ ΒΑΣΙΚΩΝ ΑΓΑΘΩΝ, ΚΕΝΤΡΑ ΚΟΙΝΟΤΗΤΑΣ, ΔΟΜΕΣ ΑΣΤΕΓΩΝ»</w:t>
            </w:r>
          </w:p>
          <w:p w:rsidR="00F059E8" w:rsidRPr="00F059E8"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w:t>
            </w:r>
            <w:r w:rsidR="00F23706" w:rsidRPr="00D44B11">
              <w:rPr>
                <w:rFonts w:ascii="Tahoma" w:hAnsi="Tahoma" w:cs="Tahoma"/>
                <w:spacing w:val="20"/>
                <w:sz w:val="20"/>
                <w:szCs w:val="20"/>
              </w:rPr>
              <w:t>38</w:t>
            </w:r>
            <w:r w:rsidR="00253DAE" w:rsidRPr="00D44B11">
              <w:rPr>
                <w:rFonts w:ascii="Tahoma" w:hAnsi="Tahoma" w:cs="Tahoma"/>
                <w:spacing w:val="20"/>
                <w:sz w:val="20"/>
                <w:szCs w:val="20"/>
              </w:rPr>
              <w:t xml:space="preserve"> του Ν. 4765/2021</w:t>
            </w:r>
            <w:r w:rsidR="00253DAE">
              <w:rPr>
                <w:rFonts w:ascii="Tahoma" w:hAnsi="Tahoma" w:cs="Tahoma"/>
                <w:spacing w:val="20"/>
                <w:sz w:val="20"/>
                <w:szCs w:val="20"/>
              </w:rPr>
              <w:t xml:space="preserve"> </w:t>
            </w:r>
            <w:r w:rsidR="00F059E8" w:rsidRPr="00F059E8">
              <w:rPr>
                <w:rFonts w:ascii="Tahoma" w:hAnsi="Tahoma" w:cs="Tahoma"/>
                <w:spacing w:val="20"/>
                <w:sz w:val="20"/>
                <w:szCs w:val="20"/>
              </w:rPr>
              <w:t>&amp;</w:t>
            </w:r>
          </w:p>
          <w:p w:rsidR="005501D2" w:rsidRPr="00071EFD" w:rsidRDefault="00852CB9" w:rsidP="00852CB9">
            <w:pPr>
              <w:tabs>
                <w:tab w:val="left" w:pos="1792"/>
              </w:tabs>
              <w:jc w:val="both"/>
              <w:outlineLvl w:val="0"/>
              <w:rPr>
                <w:rFonts w:ascii="Tahoma" w:hAnsi="Tahoma" w:cs="Tahoma"/>
                <w:spacing w:val="20"/>
                <w:sz w:val="20"/>
                <w:szCs w:val="20"/>
              </w:rPr>
            </w:pPr>
            <w:r>
              <w:rPr>
                <w:rFonts w:ascii="Tahoma" w:hAnsi="Tahoma" w:cs="Tahoma"/>
                <w:spacing w:val="20"/>
                <w:sz w:val="20"/>
                <w:szCs w:val="20"/>
              </w:rPr>
              <w:tab/>
            </w:r>
            <w:r w:rsidR="00F059E8">
              <w:rPr>
                <w:rFonts w:ascii="Tahoma" w:hAnsi="Tahoma" w:cs="Tahoma"/>
                <w:spacing w:val="20"/>
                <w:sz w:val="20"/>
                <w:szCs w:val="20"/>
              </w:rPr>
              <w:t>74 του Ν. 4430/2016</w:t>
            </w:r>
            <w:r w:rsidR="005501D2"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EC6BB0" w:rsidRDefault="00CA3AB5">
      <w:pPr>
        <w:rPr>
          <w:rFonts w:ascii="Tahoma" w:hAnsi="Tahoma"/>
          <w:sz w:val="6"/>
          <w:szCs w:val="6"/>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rsidR="00E77439" w:rsidRPr="00071EFD" w:rsidRDefault="00E77439" w:rsidP="00071EFD">
            <w:pPr>
              <w:jc w:val="center"/>
              <w:rPr>
                <w:rFonts w:ascii="Arial" w:hAnsi="Arial" w:cs="Arial"/>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r w:rsidR="00253DAE">
              <w:rPr>
                <w:rFonts w:ascii="Tahoma" w:hAnsi="Tahoma" w:cs="Arial"/>
                <w:sz w:val="16"/>
                <w:szCs w:val="16"/>
              </w:rPr>
              <w:t xml:space="preserve">, </w:t>
            </w:r>
            <w:r w:rsidR="00253DAE" w:rsidRPr="00D44B11">
              <w:rPr>
                <w:rFonts w:ascii="Tahoma" w:hAnsi="Tahoma" w:cs="Arial"/>
                <w:sz w:val="16"/>
                <w:szCs w:val="16"/>
              </w:rPr>
              <w:t>μεταπτυχιακός τίτλος, εξειδικευμένη εμπειρία</w:t>
            </w:r>
            <w:r w:rsidRPr="00071EFD">
              <w:rPr>
                <w:rFonts w:ascii="Tahoma" w:hAnsi="Tahoma" w:cs="Arial"/>
                <w:sz w:val="16"/>
                <w:szCs w:val="16"/>
              </w:rPr>
              <w:t>)</w:t>
            </w:r>
            <w:r w:rsidR="00253DAE">
              <w:rPr>
                <w:rFonts w:ascii="Tahoma" w:hAnsi="Tahoma" w:cs="Arial"/>
                <w:sz w:val="16"/>
                <w:szCs w:val="16"/>
              </w:rPr>
              <w:t>]</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rsidTr="00EC6BB0">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rsidTr="00516B4B">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00516B4B">
              <w:rPr>
                <w:rFonts w:ascii="Arial" w:hAnsi="Arial" w:cs="Tahoma"/>
                <w:b/>
                <w:sz w:val="15"/>
                <w:szCs w:val="15"/>
              </w:rPr>
              <w:t xml:space="preserve">συναφής με ευάλωτες ομάδες και κοινωνική ένταξη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253DAE">
        <w:rPr>
          <w:rFonts w:ascii="Arial" w:hAnsi="Arial" w:cs="Arial"/>
          <w:b/>
          <w:bCs/>
          <w:sz w:val="16"/>
          <w:szCs w:val="16"/>
        </w:rPr>
        <w:t>12</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p w:rsidR="006E1C77" w:rsidRDefault="006E1C77" w:rsidP="006E1C77">
      <w:pPr>
        <w:rPr>
          <w:rFonts w:ascii="Tahoma" w:hAnsi="Tahoma" w:cs="Tahoma"/>
          <w:b/>
          <w:spacing w:val="16"/>
          <w:sz w:val="10"/>
          <w:szCs w:val="10"/>
        </w:rPr>
      </w:pPr>
    </w:p>
    <w:p w:rsidR="001A605A" w:rsidRDefault="001A605A" w:rsidP="001A605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1A605A" w:rsidTr="000A36A6">
        <w:tc>
          <w:tcPr>
            <w:tcW w:w="10080" w:type="dxa"/>
          </w:tcPr>
          <w:p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r w:rsidRPr="0021312D">
              <w:rPr>
                <w:rFonts w:ascii="Tahoma" w:hAnsi="Tahoma" w:cs="Tahoma"/>
                <w:b/>
                <w:sz w:val="19"/>
                <w:szCs w:val="19"/>
              </w:rPr>
              <w:t>Ε.δ.</w:t>
            </w:r>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68"/>
        <w:gridCol w:w="5760"/>
        <w:gridCol w:w="239"/>
        <w:gridCol w:w="537"/>
        <w:gridCol w:w="540"/>
        <w:gridCol w:w="482"/>
      </w:tblGrid>
      <w:tr w:rsidR="001A605A" w:rsidRPr="00DC73EB" w:rsidTr="00E2424F">
        <w:trPr>
          <w:trHeight w:val="159"/>
          <w:jc w:val="center"/>
        </w:trPr>
        <w:tc>
          <w:tcPr>
            <w:tcW w:w="236" w:type="dxa"/>
            <w:tcBorders>
              <w:top w:val="single" w:sz="4" w:space="0" w:color="auto"/>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rsidR="001A605A" w:rsidRPr="00DC73EB" w:rsidRDefault="001A605A" w:rsidP="00B132C8">
            <w:pPr>
              <w:rPr>
                <w:rFonts w:ascii="Arial" w:hAnsi="Arial" w:cs="Arial"/>
                <w:b/>
                <w:sz w:val="20"/>
                <w:szCs w:val="20"/>
              </w:rPr>
            </w:pPr>
          </w:p>
        </w:tc>
      </w:tr>
      <w:tr w:rsidR="0081147A" w:rsidRPr="00DC73EB" w:rsidTr="00537D96">
        <w:trPr>
          <w:trHeight w:val="89"/>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rsidR="0081147A" w:rsidRPr="00DC73EB" w:rsidRDefault="0081147A" w:rsidP="000A36A6">
            <w:pPr>
              <w:jc w:val="right"/>
              <w:rPr>
                <w:rFonts w:ascii="Arial" w:hAnsi="Arial" w:cs="Arial"/>
                <w:sz w:val="20"/>
                <w:szCs w:val="20"/>
              </w:rPr>
            </w:pPr>
            <w:r w:rsidRPr="00DC73EB">
              <w:rPr>
                <w:rFonts w:ascii="Arial" w:hAnsi="Arial" w:cs="Arial"/>
                <w:sz w:val="20"/>
                <w:szCs w:val="20"/>
              </w:rPr>
              <w:t>[αριθμ. μηνών]</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rsidR="0081147A" w:rsidRPr="00DC73EB" w:rsidRDefault="0081147A" w:rsidP="0081147A">
            <w:pPr>
              <w:jc w:val="cente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537D96">
        <w:trPr>
          <w:trHeight w:val="227"/>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B132C8">
            <w:pPr>
              <w:rPr>
                <w:rFonts w:ascii="Arial" w:hAnsi="Arial" w:cs="Arial"/>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81147A" w:rsidRPr="00DC73EB" w:rsidTr="00E2424F">
        <w:trPr>
          <w:trHeight w:val="85"/>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β.</w:t>
            </w:r>
          </w:p>
        </w:tc>
        <w:tc>
          <w:tcPr>
            <w:tcW w:w="5760" w:type="dxa"/>
            <w:vMerge w:val="restart"/>
            <w:tcBorders>
              <w:top w:val="nil"/>
              <w:left w:val="nil"/>
              <w:right w:val="nil"/>
            </w:tcBorders>
          </w:tcPr>
          <w:p w:rsidR="0081147A" w:rsidRPr="00DC73EB" w:rsidRDefault="0081147A" w:rsidP="000A36A6">
            <w:pPr>
              <w:ind w:left="397" w:hanging="397"/>
              <w:rPr>
                <w:rFonts w:ascii="Arial" w:hAnsi="Arial" w:cs="Tahoma"/>
                <w:b/>
                <w:sz w:val="20"/>
                <w:szCs w:val="20"/>
              </w:rPr>
            </w:pPr>
            <w:r w:rsidRPr="00DC73EB">
              <w:rPr>
                <w:rFonts w:ascii="Arial" w:hAnsi="Arial" w:cs="Tahoma"/>
                <w:b/>
                <w:sz w:val="20"/>
                <w:szCs w:val="20"/>
              </w:rPr>
              <w:t>Ανήλικα ή ενήλικα προστατευόμενα κατά νόμο τέκνα</w:t>
            </w:r>
          </w:p>
          <w:p w:rsidR="0081147A" w:rsidRPr="00DC73EB" w:rsidRDefault="0081147A" w:rsidP="000A36A6">
            <w:pPr>
              <w:jc w:val="right"/>
              <w:rPr>
                <w:rFonts w:ascii="Arial" w:hAnsi="Arial" w:cs="Arial"/>
                <w:b/>
                <w:sz w:val="20"/>
                <w:szCs w:val="20"/>
              </w:rPr>
            </w:pPr>
            <w:r w:rsidRPr="00DC73EB">
              <w:rPr>
                <w:rFonts w:ascii="Arial" w:hAnsi="Arial" w:cs="Tahoma"/>
                <w:bCs/>
                <w:sz w:val="20"/>
                <w:szCs w:val="20"/>
              </w:rPr>
              <w:tab/>
            </w:r>
            <w:r w:rsidRPr="00DC73EB">
              <w:rPr>
                <w:rFonts w:ascii="Arial" w:hAnsi="Arial" w:cs="Tahoma"/>
                <w:bCs/>
                <w:sz w:val="20"/>
                <w:szCs w:val="20"/>
              </w:rPr>
              <w:tab/>
              <w:t>[αριθμ. τέκνων του υποψηφίου]</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tcPr>
          <w:p w:rsidR="0081147A" w:rsidRPr="00DC73EB" w:rsidRDefault="0081147A" w:rsidP="00B132C8">
            <w:pPr>
              <w:rPr>
                <w:rFonts w:ascii="Arial" w:hAnsi="Arial" w:cs="Arial"/>
                <w:b/>
                <w:sz w:val="20"/>
                <w:szCs w:val="20"/>
              </w:rPr>
            </w:pPr>
          </w:p>
        </w:tc>
        <w:tc>
          <w:tcPr>
            <w:tcW w:w="540" w:type="dxa"/>
            <w:tcBorders>
              <w:top w:val="nil"/>
              <w:left w:val="nil"/>
              <w:bottom w:val="nil"/>
            </w:tcBorders>
          </w:tcPr>
          <w:p w:rsidR="0081147A" w:rsidRPr="00DC73EB" w:rsidRDefault="0081147A" w:rsidP="00B132C8">
            <w:pP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E2424F">
        <w:trPr>
          <w:trHeight w:val="178"/>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0A36A6">
            <w:pPr>
              <w:ind w:left="397" w:hanging="397"/>
              <w:rPr>
                <w:rFonts w:ascii="Arial" w:hAnsi="Arial" w:cs="Tahoma"/>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tcPr>
          <w:p w:rsidR="0081147A" w:rsidRPr="00E2424F" w:rsidRDefault="0081147A" w:rsidP="00B132C8">
            <w:pPr>
              <w:rPr>
                <w:rFonts w:ascii="Arial" w:hAnsi="Arial" w:cs="Arial"/>
                <w:sz w:val="20"/>
                <w:szCs w:val="20"/>
              </w:rPr>
            </w:pPr>
          </w:p>
        </w:tc>
        <w:tc>
          <w:tcPr>
            <w:tcW w:w="540" w:type="dxa"/>
            <w:tcBorders>
              <w:top w:val="nil"/>
              <w:bottom w:val="single" w:sz="4" w:space="0" w:color="auto"/>
            </w:tcBorders>
          </w:tcPr>
          <w:p w:rsidR="0081147A" w:rsidRPr="00DC73EB" w:rsidRDefault="0081147A" w:rsidP="00B132C8">
            <w:pP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6"/>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rsidR="001A605A" w:rsidRPr="00DC73EB" w:rsidRDefault="001A605A" w:rsidP="00993901">
            <w:pPr>
              <w:ind w:left="397" w:hanging="397"/>
              <w:rPr>
                <w:rFonts w:ascii="Arial" w:hAnsi="Arial" w:cs="Tahoma"/>
                <w:b/>
                <w:sz w:val="20"/>
                <w:szCs w:val="20"/>
              </w:rPr>
            </w:pPr>
            <w:r w:rsidRPr="00DC73EB">
              <w:rPr>
                <w:rFonts w:ascii="Arial" w:hAnsi="Arial" w:cs="Tahoma"/>
                <w:b/>
                <w:sz w:val="20"/>
                <w:szCs w:val="20"/>
              </w:rPr>
              <w:t>Άγαμος, διαζευγμένος ή εν χηρεία γονέας</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7"/>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rsidR="001A605A" w:rsidRPr="00DC73EB" w:rsidRDefault="001A605A" w:rsidP="000A36A6">
            <w:pPr>
              <w:ind w:left="397" w:hanging="397"/>
              <w:rPr>
                <w:rFonts w:ascii="Arial" w:hAnsi="Arial" w:cs="Tahoma"/>
                <w:b/>
                <w:sz w:val="20"/>
                <w:szCs w:val="20"/>
              </w:rPr>
            </w:pPr>
            <w:r w:rsidRPr="00DC73EB">
              <w:rPr>
                <w:rFonts w:ascii="Arial" w:hAnsi="Arial" w:cs="Tahoma"/>
                <w:b/>
                <w:sz w:val="20"/>
                <w:szCs w:val="20"/>
              </w:rPr>
              <w:t>Αναπηρία υποψηφίου</w:t>
            </w:r>
            <w:r w:rsidR="002015A6" w:rsidRPr="00DC73EB">
              <w:rPr>
                <w:rFonts w:ascii="Arial" w:hAnsi="Arial" w:cs="Tahoma"/>
                <w:b/>
                <w:sz w:val="20"/>
                <w:szCs w:val="20"/>
              </w:rPr>
              <w:t xml:space="preserve"> από 50% και άνω</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trHeight w:val="154"/>
          <w:jc w:val="center"/>
        </w:trPr>
        <w:tc>
          <w:tcPr>
            <w:tcW w:w="236" w:type="dxa"/>
            <w:tcBorders>
              <w:top w:val="nil"/>
              <w:left w:val="single" w:sz="4" w:space="0" w:color="auto"/>
              <w:bottom w:val="single" w:sz="4" w:space="0" w:color="auto"/>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rsidR="001A605A" w:rsidRPr="00DC73EB" w:rsidRDefault="001A605A" w:rsidP="00B132C8">
            <w:pPr>
              <w:rPr>
                <w:rFonts w:ascii="Arial" w:hAnsi="Arial" w:cs="Arial"/>
                <w:b/>
                <w:sz w:val="20"/>
                <w:szCs w:val="20"/>
              </w:rPr>
            </w:pPr>
          </w:p>
        </w:tc>
      </w:tr>
    </w:tbl>
    <w:p w:rsidR="001A605A" w:rsidRDefault="001A605A" w:rsidP="006E1C77">
      <w:pPr>
        <w:rPr>
          <w:rFonts w:ascii="Tahoma" w:hAnsi="Tahoma" w:cs="Tahoma"/>
          <w:b/>
          <w:spacing w:val="16"/>
          <w:sz w:val="10"/>
          <w:szCs w:val="10"/>
        </w:rPr>
      </w:pPr>
    </w:p>
    <w:p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71EFD">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071EFD">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71EFD" w:rsidRDefault="00DA7DA7" w:rsidP="00071EFD">
            <w:pPr>
              <w:spacing w:beforeLines="50" w:before="120"/>
              <w:jc w:val="center"/>
              <w:rPr>
                <w:rFonts w:ascii="Arial" w:hAnsi="Arial" w:cs="Arial"/>
                <w:sz w:val="20"/>
                <w:szCs w:val="20"/>
              </w:rPr>
            </w:pPr>
          </w:p>
        </w:tc>
      </w:tr>
      <w:tr w:rsidR="00A8254B" w:rsidRPr="00071EFD" w:rsidTr="00062F50">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A8254B" w:rsidRPr="00071EFD" w:rsidRDefault="00CE64CB" w:rsidP="00071EFD">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71EFD" w:rsidRDefault="00A8254B" w:rsidP="00071EFD">
            <w:pPr>
              <w:spacing w:beforeLines="50" w:before="12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71EFD" w:rsidRDefault="00A8254B" w:rsidP="00071EFD">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71EFD" w:rsidRDefault="00A8254B" w:rsidP="00071EFD">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before="120"/>
              <w:jc w:val="both"/>
              <w:rPr>
                <w:rFonts w:ascii="Arial" w:hAnsi="Arial" w:cs="Arial"/>
                <w:sz w:val="20"/>
                <w:szCs w:val="20"/>
              </w:rPr>
            </w:pPr>
          </w:p>
        </w:tc>
      </w:tr>
      <w:tr w:rsidR="00B529A4" w:rsidRPr="00071EFD">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71EFD" w:rsidRDefault="00B529A4" w:rsidP="00071EFD">
            <w:pPr>
              <w:spacing w:beforeLines="50" w:before="120"/>
              <w:jc w:val="both"/>
              <w:rPr>
                <w:rFonts w:ascii="Arial" w:hAnsi="Arial" w:cs="Arial"/>
                <w:sz w:val="20"/>
                <w:szCs w:val="20"/>
              </w:rPr>
            </w:pPr>
          </w:p>
        </w:tc>
      </w:tr>
      <w:tr w:rsidR="00623625" w:rsidRPr="00071EFD">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71EFD" w:rsidRDefault="00DA7DA7" w:rsidP="00071EFD">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71EFD" w:rsidRDefault="00DA7DA7" w:rsidP="00071EFD">
            <w:pPr>
              <w:spacing w:beforeLines="50" w:before="120"/>
              <w:jc w:val="center"/>
              <w:rPr>
                <w:rFonts w:ascii="Arial" w:hAnsi="Arial" w:cs="Arial"/>
                <w:sz w:val="16"/>
                <w:szCs w:val="16"/>
              </w:rPr>
            </w:pPr>
          </w:p>
        </w:tc>
      </w:tr>
      <w:tr w:rsidR="00DA7DA7" w:rsidRPr="00071EFD"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r>
      <w:tr w:rsidR="00623625" w:rsidRPr="00071EFD">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71EFD" w:rsidRDefault="00623625" w:rsidP="00071EFD">
            <w:pPr>
              <w:spacing w:before="100" w:beforeAutospacing="1"/>
              <w:jc w:val="center"/>
              <w:rPr>
                <w:rFonts w:ascii="Arial" w:hAnsi="Arial" w:cs="Arial"/>
                <w:sz w:val="6"/>
                <w:szCs w:val="6"/>
              </w:rPr>
            </w:pPr>
          </w:p>
        </w:tc>
      </w:tr>
      <w:tr w:rsidR="00DA7DA7" w:rsidRP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A7DA7" w:rsidRPr="00071EFD" w:rsidRDefault="00DA7DA7" w:rsidP="00071EFD">
            <w:pPr>
              <w:spacing w:before="80"/>
              <w:jc w:val="center"/>
              <w:rPr>
                <w:rFonts w:ascii="Arial" w:hAnsi="Arial" w:cs="Arial"/>
                <w:sz w:val="20"/>
                <w:szCs w:val="20"/>
              </w:rPr>
            </w:pPr>
          </w:p>
        </w:tc>
      </w:tr>
      <w:tr w:rsidR="00623625" w:rsidRPr="00071EFD"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rsidR="00623625" w:rsidRPr="00213995" w:rsidRDefault="00623625" w:rsidP="00071EFD">
            <w:pPr>
              <w:jc w:val="center"/>
              <w:rPr>
                <w:rFonts w:ascii="Arial" w:hAnsi="Arial" w:cs="Arial"/>
              </w:rPr>
            </w:pPr>
          </w:p>
        </w:tc>
      </w:tr>
      <w:tr w:rsidR="00DA7DA7" w:rsidRPr="00071EFD"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71EFD" w:rsidRDefault="00DA7DA7" w:rsidP="00071EFD">
            <w:pPr>
              <w:spacing w:after="80"/>
              <w:jc w:val="center"/>
              <w:rPr>
                <w:rFonts w:ascii="Arial" w:hAnsi="Arial" w:cs="Arial"/>
                <w:sz w:val="20"/>
                <w:szCs w:val="20"/>
              </w:rPr>
            </w:pPr>
          </w:p>
        </w:tc>
      </w:tr>
      <w:tr w:rsidR="00623625" w:rsidRPr="00071EFD"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E27A79" w:rsidRDefault="00623625" w:rsidP="00071EFD">
            <w:pPr>
              <w:jc w:val="center"/>
              <w:rPr>
                <w:rFonts w:ascii="Arial" w:hAnsi="Arial" w:cs="Arial"/>
                <w:sz w:val="32"/>
                <w:szCs w:val="32"/>
              </w:rPr>
            </w:pPr>
          </w:p>
        </w:tc>
      </w:tr>
    </w:tbl>
    <w:p w:rsidR="00F54306" w:rsidRPr="00E80A86" w:rsidRDefault="00F54306" w:rsidP="00646691">
      <w:pPr>
        <w:rPr>
          <w:rFonts w:ascii="Arial" w:hAnsi="Arial" w:cs="Arial"/>
          <w:b/>
          <w:sz w:val="4"/>
          <w:szCs w:val="4"/>
          <w:lang w:val="en-US"/>
        </w:rPr>
      </w:pPr>
    </w:p>
    <w:sectPr w:rsidR="00F54306" w:rsidRPr="00E80A86"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52" w:rsidRDefault="00607E52">
      <w:r>
        <w:separator/>
      </w:r>
    </w:p>
  </w:endnote>
  <w:endnote w:type="continuationSeparator" w:id="0">
    <w:p w:rsidR="00607E52" w:rsidRDefault="0060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75" w:rsidRDefault="00F24D29">
    <w:pPr>
      <w:pStyle w:val="a4"/>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253DAE">
                            <w:rPr>
                              <w:rFonts w:ascii="Arial" w:hAnsi="Arial" w:cs="Arial"/>
                              <w:b/>
                              <w:bCs/>
                              <w:spacing w:val="20"/>
                              <w:sz w:val="28"/>
                              <w:szCs w:val="28"/>
                            </w:rPr>
                            <w:t>12</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Pirw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" filled="f" stroked="f" strokeweight="2pt">
              <v:textbox style="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253DAE">
                      <w:rPr>
                        <w:rFonts w:ascii="Arial" w:hAnsi="Arial" w:cs="Arial"/>
                        <w:b/>
                        <w:bCs/>
                        <w:spacing w:val="20"/>
                        <w:sz w:val="28"/>
                        <w:szCs w:val="28"/>
                      </w:rPr>
                      <w:t>12</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52" w:rsidRDefault="00607E52">
      <w:r>
        <w:separator/>
      </w:r>
    </w:p>
  </w:footnote>
  <w:footnote w:type="continuationSeparator" w:id="0">
    <w:p w:rsidR="00607E52" w:rsidRDefault="0060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05750"/>
    <w:rsid w:val="00014FBA"/>
    <w:rsid w:val="00017252"/>
    <w:rsid w:val="000172F7"/>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6C94"/>
    <w:rsid w:val="0006763B"/>
    <w:rsid w:val="00071EFD"/>
    <w:rsid w:val="00077B55"/>
    <w:rsid w:val="000907E8"/>
    <w:rsid w:val="00093646"/>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10477"/>
    <w:rsid w:val="00211C10"/>
    <w:rsid w:val="0021201E"/>
    <w:rsid w:val="0021312D"/>
    <w:rsid w:val="00213705"/>
    <w:rsid w:val="00213995"/>
    <w:rsid w:val="00214418"/>
    <w:rsid w:val="00214869"/>
    <w:rsid w:val="00223D17"/>
    <w:rsid w:val="00226051"/>
    <w:rsid w:val="00227EE5"/>
    <w:rsid w:val="002348A2"/>
    <w:rsid w:val="00241B4F"/>
    <w:rsid w:val="00243240"/>
    <w:rsid w:val="00243FA3"/>
    <w:rsid w:val="002469AB"/>
    <w:rsid w:val="002478D1"/>
    <w:rsid w:val="00251EBE"/>
    <w:rsid w:val="00252416"/>
    <w:rsid w:val="002530B6"/>
    <w:rsid w:val="00253DAE"/>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7C19"/>
    <w:rsid w:val="002D0AB4"/>
    <w:rsid w:val="002D269D"/>
    <w:rsid w:val="002D26FF"/>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29B1"/>
    <w:rsid w:val="00473560"/>
    <w:rsid w:val="00473CDA"/>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FB1"/>
    <w:rsid w:val="005253A1"/>
    <w:rsid w:val="00531FFB"/>
    <w:rsid w:val="005328B9"/>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07E52"/>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96BCD"/>
    <w:rsid w:val="006A0568"/>
    <w:rsid w:val="006A05FE"/>
    <w:rsid w:val="006A07E4"/>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77E1"/>
    <w:rsid w:val="00767D7F"/>
    <w:rsid w:val="0077329E"/>
    <w:rsid w:val="00773375"/>
    <w:rsid w:val="00782401"/>
    <w:rsid w:val="00786847"/>
    <w:rsid w:val="00786928"/>
    <w:rsid w:val="00786A8F"/>
    <w:rsid w:val="00790551"/>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147A"/>
    <w:rsid w:val="00813A55"/>
    <w:rsid w:val="0082532C"/>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E6FF3"/>
    <w:rsid w:val="008F43E4"/>
    <w:rsid w:val="008F54CD"/>
    <w:rsid w:val="008F6D41"/>
    <w:rsid w:val="009004A1"/>
    <w:rsid w:val="0090159A"/>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5E4"/>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313D6"/>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87F45"/>
    <w:rsid w:val="00C96BE6"/>
    <w:rsid w:val="00CA3AB5"/>
    <w:rsid w:val="00CA5A12"/>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4B11"/>
    <w:rsid w:val="00D46B9B"/>
    <w:rsid w:val="00D57996"/>
    <w:rsid w:val="00D77058"/>
    <w:rsid w:val="00D77897"/>
    <w:rsid w:val="00D77B29"/>
    <w:rsid w:val="00D83F64"/>
    <w:rsid w:val="00D85FD9"/>
    <w:rsid w:val="00D91BBB"/>
    <w:rsid w:val="00D91E10"/>
    <w:rsid w:val="00D925AE"/>
    <w:rsid w:val="00D929EA"/>
    <w:rsid w:val="00D94622"/>
    <w:rsid w:val="00D95304"/>
    <w:rsid w:val="00D95628"/>
    <w:rsid w:val="00D968B9"/>
    <w:rsid w:val="00D97BD8"/>
    <w:rsid w:val="00D97E56"/>
    <w:rsid w:val="00DA35CC"/>
    <w:rsid w:val="00DA3797"/>
    <w:rsid w:val="00DA3C0F"/>
    <w:rsid w:val="00DA7DA7"/>
    <w:rsid w:val="00DB2C15"/>
    <w:rsid w:val="00DB347B"/>
    <w:rsid w:val="00DB5293"/>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6B49"/>
    <w:rsid w:val="00E27A79"/>
    <w:rsid w:val="00E30F18"/>
    <w:rsid w:val="00E3196E"/>
    <w:rsid w:val="00E31CE0"/>
    <w:rsid w:val="00E34376"/>
    <w:rsid w:val="00E37DBE"/>
    <w:rsid w:val="00E44635"/>
    <w:rsid w:val="00E44A43"/>
    <w:rsid w:val="00E46FAA"/>
    <w:rsid w:val="00E47EC7"/>
    <w:rsid w:val="00E51F27"/>
    <w:rsid w:val="00E52174"/>
    <w:rsid w:val="00E531C4"/>
    <w:rsid w:val="00E54C31"/>
    <w:rsid w:val="00E6058D"/>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06CBC"/>
    <w:rsid w:val="00F23706"/>
    <w:rsid w:val="00F24D29"/>
    <w:rsid w:val="00F41B1F"/>
    <w:rsid w:val="00F42246"/>
    <w:rsid w:val="00F46253"/>
    <w:rsid w:val="00F51ECA"/>
    <w:rsid w:val="00F54306"/>
    <w:rsid w:val="00F60F34"/>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stroke weight=".5pt"/>
    </o:shapedefaults>
    <o:shapelayout v:ext="edit">
      <o:idmap v:ext="edit" data="1"/>
    </o:shapelayout>
  </w:shapeDefaults>
  <w:decimalSymbol w:val=","/>
  <w:listSeparator w:val=";"/>
  <w15:docId w15:val="{04D69F17-E2DB-4600-9530-9558C41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6704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Arampatzi  Eythymia</cp:lastModifiedBy>
  <cp:revision>2</cp:revision>
  <cp:lastPrinted>2016-11-24T15:28:00Z</cp:lastPrinted>
  <dcterms:created xsi:type="dcterms:W3CDTF">2022-04-12T11:47:00Z</dcterms:created>
  <dcterms:modified xsi:type="dcterms:W3CDTF">2022-04-12T11:47:00Z</dcterms:modified>
</cp:coreProperties>
</file>